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42" w:rsidRDefault="00522A42" w:rsidP="00522A4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27E8B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522A42" w:rsidRPr="00C27E8B" w:rsidRDefault="00522A42" w:rsidP="00522A4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27E8B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27E8B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522A42" w:rsidRPr="00C27E8B" w:rsidRDefault="00522A42" w:rsidP="00522A42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27E8B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27E8B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22A42" w:rsidRPr="00C27E8B" w:rsidRDefault="00522A42" w:rsidP="00522A4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522A42" w:rsidRPr="00C27E8B" w:rsidRDefault="00436D6E" w:rsidP="00522A42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«25» ноября 2024 </w:t>
      </w:r>
      <w:r w:rsidR="00522A42">
        <w:rPr>
          <w:rFonts w:ascii="Arial" w:hAnsi="Arial" w:cs="Arial"/>
          <w:b/>
          <w:sz w:val="18"/>
          <w:szCs w:val="18"/>
        </w:rPr>
        <w:t xml:space="preserve">г.  </w:t>
      </w:r>
      <w:r w:rsidR="00522A42" w:rsidRPr="00C27E8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563C6B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522A42" w:rsidRPr="00C27E8B">
        <w:rPr>
          <w:rFonts w:ascii="Arial" w:hAnsi="Arial" w:cs="Arial"/>
          <w:b/>
          <w:sz w:val="18"/>
          <w:szCs w:val="18"/>
        </w:rPr>
        <w:t xml:space="preserve">   №</w:t>
      </w:r>
      <w:r>
        <w:rPr>
          <w:rFonts w:ascii="Arial" w:hAnsi="Arial" w:cs="Arial"/>
          <w:b/>
          <w:sz w:val="18"/>
          <w:szCs w:val="18"/>
        </w:rPr>
        <w:t xml:space="preserve"> 67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tabs>
          <w:tab w:val="left" w:pos="4678"/>
        </w:tabs>
        <w:spacing w:line="240" w:lineRule="auto"/>
        <w:ind w:left="1" w:right="4819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наружного освещения территории поселения</w:t>
      </w: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14 февраля 2011 года № 54 –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«Об организации наружного освещения населенных пунктов на территории Белгородской области», постановлением Правительства Белгородской области от 24 октября 2011 года № 382-пп «Об утверждении порядка предоставления и расходования субсидий областного бюджета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район», земское собрание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27E8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органов местного самоуправления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</w:t>
      </w:r>
      <w:r w:rsidR="000966E2">
        <w:rPr>
          <w:rFonts w:ascii="Times New Roman" w:hAnsi="Times New Roman" w:cs="Times New Roman"/>
          <w:sz w:val="28"/>
          <w:szCs w:val="28"/>
        </w:rPr>
        <w:t>ской области с 01 января 2025 года и на плановый период 2026 и 2027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Установить, что реализация переданных полномочий осуществляется за счет межбюджетных трансфертов, передаваемых в бюджет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на основании решения об утверждении бюджета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  <w:proofErr w:type="gramEnd"/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 (Приложение № 1).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7E8B">
        <w:rPr>
          <w:rFonts w:ascii="Times New Roman" w:hAnsi="Times New Roman" w:cs="Times New Roman"/>
          <w:sz w:val="28"/>
          <w:szCs w:val="28"/>
        </w:rPr>
        <w:t>№ 2).</w:t>
      </w:r>
    </w:p>
    <w:p w:rsidR="00522A42" w:rsidRPr="008038D6" w:rsidRDefault="00522A42" w:rsidP="008038D6">
      <w:pPr>
        <w:ind w:left="1" w:hanging="3"/>
        <w:rPr>
          <w:rFonts w:asciiTheme="minorHAnsi" w:hAnsiTheme="minorHAnsi" w:cs="Times New Roman"/>
          <w:b/>
          <w:bCs/>
          <w:sz w:val="24"/>
          <w:szCs w:val="24"/>
        </w:rPr>
      </w:pPr>
      <w:r w:rsidRPr="00655CD2">
        <w:rPr>
          <w:rFonts w:ascii="Times New Roman" w:hAnsi="Times New Roman" w:cs="Times New Roman"/>
          <w:sz w:val="28"/>
          <w:szCs w:val="28"/>
        </w:rPr>
        <w:t xml:space="preserve">5. Утвердить размер </w:t>
      </w:r>
      <w:r w:rsidR="000966E2">
        <w:rPr>
          <w:rFonts w:ascii="Times New Roman" w:hAnsi="Times New Roman" w:cs="Times New Roman"/>
          <w:sz w:val="28"/>
          <w:szCs w:val="28"/>
        </w:rPr>
        <w:t>межбюджетных трансфертов на 2025</w:t>
      </w:r>
      <w:r w:rsidRPr="00655CD2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8038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5CD2">
        <w:rPr>
          <w:rFonts w:ascii="Times New Roman" w:hAnsi="Times New Roman" w:cs="Times New Roman"/>
          <w:sz w:val="28"/>
          <w:szCs w:val="28"/>
        </w:rPr>
        <w:t xml:space="preserve">  </w:t>
      </w:r>
      <w:r w:rsidR="008038D6">
        <w:rPr>
          <w:rFonts w:ascii="Times New Roman" w:hAnsi="Times New Roman" w:cs="Times New Roman"/>
          <w:sz w:val="28"/>
          <w:szCs w:val="28"/>
        </w:rPr>
        <w:t>2 164</w:t>
      </w:r>
      <w:r w:rsidR="0050429C">
        <w:rPr>
          <w:rFonts w:ascii="Times New Roman" w:hAnsi="Times New Roman" w:cs="Times New Roman"/>
          <w:sz w:val="28"/>
          <w:szCs w:val="28"/>
        </w:rPr>
        <w:t xml:space="preserve"> 000</w:t>
      </w:r>
      <w:r w:rsidR="0050429C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>два</w:t>
      </w:r>
      <w:r w:rsidR="0050429C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038D6">
        <w:rPr>
          <w:rFonts w:ascii="Times New Roman" w:hAnsi="Times New Roman" w:cs="Times New Roman"/>
          <w:sz w:val="28"/>
          <w:szCs w:val="28"/>
        </w:rPr>
        <w:t>а</w:t>
      </w:r>
      <w:r w:rsidR="0050429C">
        <w:rPr>
          <w:rFonts w:ascii="Times New Roman" w:hAnsi="Times New Roman" w:cs="Times New Roman"/>
          <w:sz w:val="28"/>
          <w:szCs w:val="28"/>
        </w:rPr>
        <w:t xml:space="preserve"> </w:t>
      </w:r>
      <w:r w:rsidR="008038D6">
        <w:rPr>
          <w:rFonts w:ascii="Times New Roman" w:hAnsi="Times New Roman" w:cs="Times New Roman"/>
          <w:sz w:val="28"/>
          <w:szCs w:val="28"/>
        </w:rPr>
        <w:t xml:space="preserve">сто шестьдесят четыре </w:t>
      </w:r>
      <w:r w:rsidR="0050429C">
        <w:rPr>
          <w:rFonts w:ascii="Times New Roman" w:hAnsi="Times New Roman" w:cs="Times New Roman"/>
          <w:sz w:val="28"/>
          <w:szCs w:val="28"/>
        </w:rPr>
        <w:t>тысяча)</w:t>
      </w:r>
      <w:r w:rsidR="0050429C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50429C" w:rsidRPr="00655CD2">
        <w:rPr>
          <w:rFonts w:ascii="Times New Roman" w:hAnsi="Times New Roman" w:cs="Times New Roman"/>
          <w:sz w:val="28"/>
          <w:szCs w:val="28"/>
        </w:rPr>
        <w:t xml:space="preserve"> </w:t>
      </w:r>
      <w:r w:rsidR="008C4BDF" w:rsidRPr="00655CD2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0966E2">
        <w:rPr>
          <w:rFonts w:ascii="Times New Roman" w:hAnsi="Times New Roman" w:cs="Times New Roman"/>
          <w:sz w:val="28"/>
          <w:szCs w:val="28"/>
        </w:rPr>
        <w:t>6</w:t>
      </w:r>
      <w:r w:rsidR="008C4BDF" w:rsidRPr="00655CD2">
        <w:rPr>
          <w:rFonts w:ascii="Times New Roman" w:hAnsi="Times New Roman" w:cs="Times New Roman"/>
          <w:sz w:val="28"/>
          <w:szCs w:val="28"/>
        </w:rPr>
        <w:t xml:space="preserve"> и 202</w:t>
      </w:r>
      <w:r w:rsidR="000966E2">
        <w:rPr>
          <w:rFonts w:ascii="Times New Roman" w:hAnsi="Times New Roman" w:cs="Times New Roman"/>
          <w:sz w:val="28"/>
          <w:szCs w:val="28"/>
        </w:rPr>
        <w:t>7</w:t>
      </w:r>
      <w:r w:rsidR="008C4BDF" w:rsidRPr="00655CD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038D6">
        <w:rPr>
          <w:rFonts w:ascii="Times New Roman" w:hAnsi="Times New Roman" w:cs="Times New Roman"/>
          <w:sz w:val="28"/>
          <w:szCs w:val="28"/>
        </w:rPr>
        <w:t>2 208</w:t>
      </w:r>
      <w:r w:rsidR="008C4BDF">
        <w:rPr>
          <w:rFonts w:ascii="Times New Roman" w:hAnsi="Times New Roman" w:cs="Times New Roman"/>
          <w:sz w:val="28"/>
          <w:szCs w:val="28"/>
        </w:rPr>
        <w:t xml:space="preserve"> 000</w:t>
      </w:r>
      <w:r w:rsidR="008C4BDF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>два</w:t>
      </w:r>
      <w:r w:rsidR="008C4BD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038D6">
        <w:rPr>
          <w:rFonts w:ascii="Times New Roman" w:hAnsi="Times New Roman" w:cs="Times New Roman"/>
          <w:sz w:val="28"/>
          <w:szCs w:val="28"/>
        </w:rPr>
        <w:t>а</w:t>
      </w:r>
      <w:r w:rsidR="008C4BDF">
        <w:rPr>
          <w:rFonts w:ascii="Times New Roman" w:hAnsi="Times New Roman" w:cs="Times New Roman"/>
          <w:sz w:val="28"/>
          <w:szCs w:val="28"/>
        </w:rPr>
        <w:t xml:space="preserve"> </w:t>
      </w:r>
      <w:r w:rsidR="008038D6">
        <w:rPr>
          <w:rFonts w:ascii="Times New Roman" w:hAnsi="Times New Roman" w:cs="Times New Roman"/>
          <w:sz w:val="28"/>
          <w:szCs w:val="28"/>
        </w:rPr>
        <w:t>двести восемь тысяч</w:t>
      </w:r>
      <w:r w:rsidR="008C4BDF">
        <w:rPr>
          <w:rFonts w:ascii="Times New Roman" w:hAnsi="Times New Roman" w:cs="Times New Roman"/>
          <w:sz w:val="28"/>
          <w:szCs w:val="28"/>
        </w:rPr>
        <w:t>)</w:t>
      </w:r>
      <w:r w:rsidR="008C4BDF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8C4BDF" w:rsidRPr="00655CD2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8038D6">
        <w:rPr>
          <w:rFonts w:ascii="Times New Roman" w:hAnsi="Times New Roman" w:cs="Times New Roman"/>
          <w:sz w:val="28"/>
          <w:szCs w:val="28"/>
        </w:rPr>
        <w:t xml:space="preserve">2 208 </w:t>
      </w:r>
      <w:r w:rsidR="008C4BDF">
        <w:rPr>
          <w:rFonts w:ascii="Times New Roman" w:hAnsi="Times New Roman" w:cs="Times New Roman"/>
          <w:sz w:val="28"/>
          <w:szCs w:val="28"/>
        </w:rPr>
        <w:t>000</w:t>
      </w:r>
      <w:r w:rsidR="008C4BDF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>два миллиона двести восемь тысяч</w:t>
      </w:r>
      <w:r w:rsidR="008C4BDF">
        <w:rPr>
          <w:rFonts w:ascii="Times New Roman" w:hAnsi="Times New Roman" w:cs="Times New Roman"/>
          <w:sz w:val="28"/>
          <w:szCs w:val="28"/>
        </w:rPr>
        <w:t xml:space="preserve">) </w:t>
      </w:r>
      <w:r w:rsidRPr="00655CD2">
        <w:rPr>
          <w:rFonts w:ascii="Times New Roman" w:hAnsi="Times New Roman" w:cs="Times New Roman"/>
          <w:sz w:val="28"/>
          <w:szCs w:val="28"/>
        </w:rPr>
        <w:t>рублей соответственно (Приложение № 3).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6. Определить органом, осуществляющим полномочия по организации наружного освещения территорию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- администрацию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7. Утвердить проект Соглашения 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(прилагается).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8. Поручить</w:t>
      </w:r>
      <w:r w:rsidRPr="00C27E8B">
        <w:rPr>
          <w:rFonts w:ascii="Times New Roman" w:hAnsi="Times New Roman" w:cs="Times New Roman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организации наружного освещения территории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9. Данное решение </w:t>
      </w:r>
      <w:r w:rsidR="000966E2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10. Признать утратившим силу решение земского собрания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966E2">
        <w:rPr>
          <w:rFonts w:ascii="Times New Roman" w:hAnsi="Times New Roman" w:cs="Times New Roman"/>
          <w:sz w:val="28"/>
          <w:szCs w:val="28"/>
        </w:rPr>
        <w:t>04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66E2">
        <w:rPr>
          <w:rFonts w:ascii="Times New Roman" w:hAnsi="Times New Roman" w:cs="Times New Roman"/>
          <w:sz w:val="28"/>
          <w:szCs w:val="28"/>
        </w:rPr>
        <w:t>28</w:t>
      </w:r>
      <w:r w:rsidRPr="00C27E8B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наружного освещения территории поселения».</w:t>
      </w:r>
      <w:r w:rsidRPr="00C27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11. Обнародовать данное решение в порядке, установленном Уставом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4CBE">
        <w:rPr>
          <w:rFonts w:ascii="Times New Roman" w:hAnsi="Times New Roman" w:cs="Times New Roman"/>
          <w:b/>
          <w:sz w:val="28"/>
          <w:szCs w:val="28"/>
        </w:rPr>
        <w:t xml:space="preserve"> Н.Ю.Виноходова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66E2"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6E2">
        <w:rPr>
          <w:rFonts w:ascii="Times New Roman" w:hAnsi="Times New Roman" w:cs="Times New Roman"/>
          <w:b/>
          <w:sz w:val="28"/>
          <w:szCs w:val="28"/>
        </w:rPr>
        <w:t>2024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0966E2">
        <w:rPr>
          <w:rFonts w:ascii="Times New Roman" w:hAnsi="Times New Roman" w:cs="Times New Roman"/>
          <w:b/>
          <w:sz w:val="28"/>
          <w:szCs w:val="28"/>
        </w:rPr>
        <w:t>67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C27E8B"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по организации наружного освещения 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район», входящего в состав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 передаче на осуществление части полномочий поселения по организации наружного освещения. 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C27E8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27E8B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района.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ежеквартально, не позднее 25-го числа месяца, следующего за отчетным периодом, направляет в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обязательств по предоставлению межбюджетных трансфертов в бюджет муниципального района,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66E2" w:rsidRPr="00886E98" w:rsidRDefault="000966E2" w:rsidP="000966E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ноября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части полномочий поселений по организации 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- стоимость эксплуатации объектов наружного освещения; 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затраты на электрическую энергию.</w:t>
      </w:r>
    </w:p>
    <w:p w:rsidR="00522A42" w:rsidRPr="00C27E8B" w:rsidRDefault="00522A42" w:rsidP="00522A42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843"/>
        <w:gridCol w:w="1559"/>
        <w:gridCol w:w="1418"/>
        <w:gridCol w:w="1417"/>
      </w:tblGrid>
      <w:tr w:rsidR="00522A42" w:rsidRPr="00C27E8B" w:rsidTr="001C1E60">
        <w:tc>
          <w:tcPr>
            <w:tcW w:w="1843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</w:t>
            </w:r>
            <w:r w:rsidRPr="00886E98"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поселения</w:t>
            </w:r>
          </w:p>
        </w:tc>
        <w:tc>
          <w:tcPr>
            <w:tcW w:w="1559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контракте, шт.</w:t>
            </w:r>
          </w:p>
        </w:tc>
        <w:tc>
          <w:tcPr>
            <w:tcW w:w="1843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Среднемесячное</w:t>
            </w:r>
          </w:p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фактически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оптимальном</w:t>
            </w:r>
          </w:p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режиме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ночном режиме, шт.</w:t>
            </w:r>
          </w:p>
        </w:tc>
        <w:tc>
          <w:tcPr>
            <w:tcW w:w="1418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фактического горения </w:t>
            </w:r>
            <w:proofErr w:type="spellStart"/>
            <w:r w:rsidRPr="00886E98">
              <w:rPr>
                <w:rFonts w:ascii="Times New Roman" w:hAnsi="Times New Roman" w:cs="Times New Roman"/>
                <w:sz w:val="24"/>
                <w:szCs w:val="24"/>
              </w:rPr>
              <w:t>светоточек</w:t>
            </w:r>
            <w:proofErr w:type="spellEnd"/>
          </w:p>
        </w:tc>
        <w:tc>
          <w:tcPr>
            <w:tcW w:w="1417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стоимость услуг, руб. с НДС</w:t>
            </w:r>
          </w:p>
        </w:tc>
      </w:tr>
      <w:tr w:rsidR="00522A42" w:rsidRPr="00C27E8B" w:rsidTr="001C1E60">
        <w:tc>
          <w:tcPr>
            <w:tcW w:w="1843" w:type="dxa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22A42" w:rsidRPr="00C27E8B" w:rsidRDefault="00522A42" w:rsidP="00522A42">
      <w:pPr>
        <w:spacing w:line="240" w:lineRule="auto"/>
        <w:ind w:left="0" w:right="-284" w:hanging="2"/>
        <w:rPr>
          <w:rFonts w:ascii="Times New Roman" w:hAnsi="Times New Roman" w:cs="Times New Roman"/>
          <w:sz w:val="16"/>
          <w:szCs w:val="16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</w:pPr>
      <w:r w:rsidRPr="00C27E8B">
        <w:rPr>
          <w:rFonts w:ascii="Times New Roman" w:hAnsi="Times New Roman" w:cs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= </w:t>
      </w:r>
      <w:r w:rsidRPr="00C27E8B">
        <w:rPr>
          <w:rFonts w:ascii="Times New Roman" w:hAnsi="Times New Roman" w:cs="Times New Roman"/>
          <w:spacing w:val="-20"/>
          <w:sz w:val="28"/>
          <w:szCs w:val="28"/>
          <w:lang w:val="en-US"/>
        </w:rPr>
        <w:t>t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 опт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>*  Ц</w:t>
      </w:r>
      <w:proofErr w:type="gramEnd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* 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N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опт , </w:t>
      </w:r>
    </w:p>
    <w:p w:rsidR="00522A42" w:rsidRPr="00C27E8B" w:rsidRDefault="00522A42" w:rsidP="00522A42">
      <w:pPr>
        <w:spacing w:line="240" w:lineRule="auto"/>
        <w:ind w:right="-284"/>
        <w:jc w:val="center"/>
        <w:rPr>
          <w:rFonts w:ascii="Times New Roman" w:hAnsi="Times New Roman" w:cs="Times New Roman"/>
          <w:smallCaps/>
          <w:spacing w:val="-20"/>
          <w:sz w:val="16"/>
          <w:szCs w:val="16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62" w:firstLine="707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>где</w:t>
      </w:r>
      <w:proofErr w:type="gramStart"/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:</w:t>
      </w:r>
      <w:proofErr w:type="gramEnd"/>
    </w:p>
    <w:p w:rsidR="00522A42" w:rsidRPr="00C27E8B" w:rsidRDefault="00522A42" w:rsidP="00522A42">
      <w:pPr>
        <w:spacing w:line="240" w:lineRule="auto"/>
        <w:ind w:leftChars="0" w:left="1" w:right="-284" w:firstLineChars="262" w:firstLine="681"/>
        <w:rPr>
          <w:rFonts w:ascii="Times New Roman" w:hAnsi="Times New Roman" w:cs="Times New Roman"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стоимость эксплуатации объектов наружного освещения, руб.;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681"/>
        <w:rPr>
          <w:rFonts w:ascii="Times New Roman" w:hAnsi="Times New Roman" w:cs="Times New Roman"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>Ц</w:t>
      </w:r>
      <w:proofErr w:type="gramEnd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z w:val="28"/>
          <w:szCs w:val="28"/>
        </w:rPr>
        <w:t xml:space="preserve">- цена (тариф) эксплуатации одной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 руб./час;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707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N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опт </w:t>
      </w:r>
      <w:r w:rsidRPr="00C27E8B">
        <w:rPr>
          <w:rFonts w:ascii="Times New Roman" w:hAnsi="Times New Roman" w:cs="Times New Roman"/>
          <w:sz w:val="28"/>
          <w:szCs w:val="28"/>
        </w:rPr>
        <w:t>–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734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Pr="00C27E8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E8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C27E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=Т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*</w:t>
      </w:r>
      <w:r w:rsidRPr="00C27E8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где: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Start"/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тариф на электроэнергию за 1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 сложившийся в расчетном периоде, руб./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W – общая планируемая годовая потребность в электрической энергии на организацию наружного освещения,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C27E8B">
        <w:rPr>
          <w:rFonts w:ascii="Times New Roman" w:hAnsi="Times New Roman" w:cs="Times New Roman"/>
          <w:sz w:val="28"/>
          <w:szCs w:val="28"/>
        </w:rPr>
        <w:t>.</w:t>
      </w:r>
    </w:p>
    <w:p w:rsidR="00522A42" w:rsidRDefault="00522A42" w:rsidP="00D13556">
      <w:pPr>
        <w:pStyle w:val="21"/>
        <w:spacing w:after="0"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D13556" w:rsidRPr="00C27E8B" w:rsidRDefault="00D13556" w:rsidP="00D13556">
      <w:pPr>
        <w:pStyle w:val="21"/>
        <w:spacing w:after="0"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66E2" w:rsidRPr="00886E98" w:rsidRDefault="000966E2" w:rsidP="000966E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ноября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по организации 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A5E62">
        <w:rPr>
          <w:rFonts w:ascii="Times New Roman" w:hAnsi="Times New Roman" w:cs="Times New Roman"/>
          <w:b/>
          <w:sz w:val="28"/>
          <w:szCs w:val="28"/>
        </w:rPr>
        <w:t>5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A5E62">
        <w:rPr>
          <w:rFonts w:ascii="Times New Roman" w:hAnsi="Times New Roman" w:cs="Times New Roman"/>
          <w:b/>
          <w:sz w:val="28"/>
          <w:szCs w:val="28"/>
        </w:rPr>
        <w:t>6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A5E62">
        <w:rPr>
          <w:rFonts w:ascii="Times New Roman" w:hAnsi="Times New Roman" w:cs="Times New Roman"/>
          <w:b/>
          <w:sz w:val="28"/>
          <w:szCs w:val="28"/>
        </w:rPr>
        <w:t>7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027"/>
      </w:tblGrid>
      <w:tr w:rsidR="00522A42" w:rsidRPr="00C27E8B" w:rsidTr="00994CBE">
        <w:tc>
          <w:tcPr>
            <w:tcW w:w="648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Код статьи</w:t>
            </w:r>
          </w:p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 по ЭКР</w:t>
            </w:r>
          </w:p>
        </w:tc>
        <w:tc>
          <w:tcPr>
            <w:tcW w:w="3378" w:type="dxa"/>
            <w:gridSpan w:val="3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22A42" w:rsidRPr="00C27E8B" w:rsidTr="00994CBE">
        <w:tc>
          <w:tcPr>
            <w:tcW w:w="648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22A42" w:rsidRPr="00C27E8B" w:rsidRDefault="00DA5E62" w:rsidP="00D13556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522A42" w:rsidRPr="00C27E8B" w:rsidRDefault="00DA5E62" w:rsidP="00D13556">
            <w:pPr>
              <w:spacing w:line="240" w:lineRule="auto"/>
              <w:ind w:leftChars="0" w:left="0" w:right="-284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vAlign w:val="center"/>
          </w:tcPr>
          <w:p w:rsidR="00522A42" w:rsidRPr="00C27E8B" w:rsidRDefault="00DA5E62" w:rsidP="00D13556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2A42" w:rsidRPr="00C27E8B" w:rsidTr="00994CBE">
        <w:trPr>
          <w:trHeight w:val="699"/>
        </w:trPr>
        <w:tc>
          <w:tcPr>
            <w:tcW w:w="648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Погореловское</w:t>
            </w:r>
            <w:proofErr w:type="spellEnd"/>
            <w:r w:rsidRPr="00C27E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522A42" w:rsidRPr="009C0852" w:rsidRDefault="006F3C1F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0409,0310283460</w:t>
            </w:r>
            <w:r w:rsidR="00522A42" w:rsidRPr="009C0852">
              <w:rPr>
                <w:rFonts w:ascii="Times New Roman" w:hAnsi="Times New Roman" w:cs="Times New Roman"/>
                <w:sz w:val="24"/>
                <w:szCs w:val="24"/>
              </w:rPr>
              <w:t>,540,251</w:t>
            </w:r>
          </w:p>
        </w:tc>
        <w:tc>
          <w:tcPr>
            <w:tcW w:w="1173" w:type="dxa"/>
            <w:vAlign w:val="center"/>
          </w:tcPr>
          <w:p w:rsidR="00522A42" w:rsidRPr="009C0852" w:rsidRDefault="008038D6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2 164</w:t>
            </w:r>
            <w:r w:rsidR="0050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522A42" w:rsidRPr="009C0852" w:rsidRDefault="008038D6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2 208</w:t>
            </w:r>
          </w:p>
        </w:tc>
        <w:tc>
          <w:tcPr>
            <w:tcW w:w="1027" w:type="dxa"/>
            <w:vAlign w:val="center"/>
          </w:tcPr>
          <w:p w:rsidR="00522A42" w:rsidRPr="009C0852" w:rsidRDefault="008038D6" w:rsidP="00D13556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2 208</w:t>
            </w:r>
          </w:p>
        </w:tc>
      </w:tr>
      <w:tr w:rsidR="002354BE" w:rsidRPr="00C27E8B" w:rsidTr="00994CBE">
        <w:tc>
          <w:tcPr>
            <w:tcW w:w="6228" w:type="dxa"/>
            <w:gridSpan w:val="3"/>
            <w:vAlign w:val="center"/>
          </w:tcPr>
          <w:p w:rsidR="002354BE" w:rsidRPr="009C0852" w:rsidRDefault="002354BE" w:rsidP="00522A42">
            <w:pPr>
              <w:spacing w:line="240" w:lineRule="auto"/>
              <w:ind w:left="0" w:right="-284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2354BE" w:rsidRPr="009C0852" w:rsidRDefault="002354BE" w:rsidP="00947A99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2 164 </w:t>
            </w:r>
          </w:p>
        </w:tc>
        <w:tc>
          <w:tcPr>
            <w:tcW w:w="1178" w:type="dxa"/>
            <w:vAlign w:val="center"/>
          </w:tcPr>
          <w:p w:rsidR="002354BE" w:rsidRPr="009C0852" w:rsidRDefault="002354BE" w:rsidP="00947A99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2 208</w:t>
            </w:r>
          </w:p>
        </w:tc>
        <w:tc>
          <w:tcPr>
            <w:tcW w:w="1027" w:type="dxa"/>
            <w:vAlign w:val="center"/>
          </w:tcPr>
          <w:p w:rsidR="002354BE" w:rsidRPr="009C0852" w:rsidRDefault="002354BE" w:rsidP="00947A99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2 208</w:t>
            </w:r>
          </w:p>
        </w:tc>
      </w:tr>
    </w:tbl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Pr="00C27E8B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800F77" w:rsidRDefault="00800F77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522A42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2358DA" w:rsidRDefault="002358DA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2358DA" w:rsidRDefault="002358DA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2358DA" w:rsidRDefault="002358DA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2358DA" w:rsidRPr="00C27E8B" w:rsidRDefault="002358DA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tabs>
          <w:tab w:val="left" w:pos="8364"/>
        </w:tabs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A42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о передаче администрации муниципального района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полномочий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наружного освещения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widowControl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г. Короча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7E8B">
        <w:rPr>
          <w:rFonts w:ascii="Times New Roman" w:hAnsi="Times New Roman" w:cs="Times New Roman"/>
          <w:sz w:val="28"/>
          <w:szCs w:val="28"/>
        </w:rPr>
        <w:t xml:space="preserve">                    «___»_______________20___г.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052013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052013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05201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052013">
        <w:rPr>
          <w:rFonts w:ascii="Times New Roman" w:hAnsi="Times New Roman" w:cs="Times New Roman"/>
          <w:sz w:val="28"/>
          <w:szCs w:val="28"/>
        </w:rPr>
        <w:t xml:space="preserve"> район», в лице</w:t>
      </w:r>
      <w:r w:rsidRPr="000520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5201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района – председатель комитета финансов и бюджетной политики</w:t>
      </w:r>
      <w:r w:rsidRPr="0005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013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052013">
        <w:rPr>
          <w:rFonts w:ascii="Times New Roman" w:hAnsi="Times New Roman" w:cs="Times New Roman"/>
          <w:sz w:val="28"/>
          <w:szCs w:val="28"/>
        </w:rPr>
        <w:t>Мерзликиной</w:t>
      </w:r>
      <w:proofErr w:type="spellEnd"/>
      <w:r w:rsidRPr="00052013">
        <w:rPr>
          <w:rFonts w:ascii="Times New Roman" w:hAnsi="Times New Roman" w:cs="Times New Roman"/>
          <w:sz w:val="28"/>
          <w:szCs w:val="28"/>
        </w:rPr>
        <w:t>, действующей на основании Устава муниципального района «</w:t>
      </w:r>
      <w:proofErr w:type="spellStart"/>
      <w:r w:rsidRPr="0005201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05201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 в дальнейшем «Район»</w:t>
      </w:r>
      <w:r w:rsidR="00522A42" w:rsidRPr="00052013">
        <w:rPr>
          <w:rFonts w:ascii="Times New Roman" w:hAnsi="Times New Roman" w:cs="Times New Roman"/>
          <w:sz w:val="28"/>
          <w:szCs w:val="28"/>
        </w:rPr>
        <w:t>,</w:t>
      </w:r>
      <w:r w:rsidR="00522A42" w:rsidRPr="00C27E8B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proofErr w:type="spellStart"/>
      <w:r w:rsidR="00522A42" w:rsidRPr="00C27E8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="00522A42" w:rsidRPr="00C27E8B">
        <w:rPr>
          <w:rFonts w:ascii="Times New Roman" w:hAnsi="Times New Roman" w:cs="Times New Roman"/>
          <w:sz w:val="28"/>
          <w:szCs w:val="28"/>
        </w:rPr>
        <w:t xml:space="preserve"> сельское поселение в лице главы </w:t>
      </w:r>
      <w:proofErr w:type="spellStart"/>
      <w:r w:rsidR="00522A42"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522A42"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172A">
        <w:rPr>
          <w:rFonts w:ascii="Times New Roman" w:hAnsi="Times New Roman" w:cs="Times New Roman"/>
          <w:sz w:val="28"/>
          <w:szCs w:val="28"/>
        </w:rPr>
        <w:t>Виноходой</w:t>
      </w:r>
      <w:proofErr w:type="spellEnd"/>
      <w:r w:rsidR="0017172A">
        <w:rPr>
          <w:rFonts w:ascii="Times New Roman" w:hAnsi="Times New Roman" w:cs="Times New Roman"/>
          <w:sz w:val="28"/>
          <w:szCs w:val="28"/>
        </w:rPr>
        <w:t xml:space="preserve"> Н.Ю</w:t>
      </w:r>
      <w:r w:rsidR="00522A42" w:rsidRPr="00C27E8B">
        <w:rPr>
          <w:rFonts w:ascii="Times New Roman" w:hAnsi="Times New Roman" w:cs="Times New Roman"/>
          <w:sz w:val="28"/>
          <w:szCs w:val="28"/>
        </w:rPr>
        <w:t xml:space="preserve">., действующего на основании Устава </w:t>
      </w:r>
      <w:proofErr w:type="spellStart"/>
      <w:r w:rsidR="00522A42"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522A42"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proofErr w:type="gramEnd"/>
      <w:r w:rsidR="00522A42" w:rsidRPr="00C27E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2A42"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522A42"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</w:t>
      </w:r>
      <w:r w:rsidR="00DA5E62">
        <w:rPr>
          <w:rFonts w:ascii="Times New Roman" w:hAnsi="Times New Roman" w:cs="Times New Roman"/>
          <w:sz w:val="28"/>
          <w:szCs w:val="28"/>
        </w:rPr>
        <w:t>родской области с 01 января 2025 года по 31 декабря 2027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из бюджета Поселения на основании решений об утверждении бюджета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Поселения  на соответствующий финансовый год.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994CBE" w:rsidRDefault="00994CBE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BE" w:rsidRDefault="00994CBE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BE" w:rsidRDefault="00994CBE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BE" w:rsidRDefault="00994CBE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AB" w:rsidRDefault="00744BAB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AB" w:rsidRDefault="00744BAB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2.1. Поселение: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2.1.1. Передает Району полномочия по организации  наружного освещения территории Поселения;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 межбюджетных трансфертов т</w:t>
      </w:r>
      <w:r w:rsidRPr="00C27E8B">
        <w:rPr>
          <w:rFonts w:ascii="Times New Roman" w:hAnsi="Times New Roman" w:cs="Times New Roman"/>
          <w:bCs/>
          <w:sz w:val="28"/>
          <w:szCs w:val="28"/>
        </w:rPr>
        <w:t xml:space="preserve">ребует </w:t>
      </w:r>
      <w:r w:rsidRPr="00C27E8B">
        <w:rPr>
          <w:rFonts w:ascii="Times New Roman" w:hAnsi="Times New Roman" w:cs="Times New Roman"/>
          <w:sz w:val="28"/>
          <w:szCs w:val="28"/>
        </w:rPr>
        <w:t>возврата суммы перечисленных межбюджетных трансфертов.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522A42" w:rsidRPr="00C27E8B" w:rsidRDefault="00522A42" w:rsidP="00522A42">
      <w:pPr>
        <w:tabs>
          <w:tab w:val="left" w:pos="567"/>
          <w:tab w:val="left" w:pos="1276"/>
        </w:tabs>
        <w:spacing w:line="240" w:lineRule="auto"/>
        <w:ind w:leftChars="0" w:left="1" w:right="-284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2.2. Район: 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522A42" w:rsidRPr="00C27E8B" w:rsidRDefault="00522A42" w:rsidP="00DF28FA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522A42" w:rsidRPr="00354DCE" w:rsidRDefault="00522A42" w:rsidP="00354DCE">
      <w:pPr>
        <w:pStyle w:val="1"/>
        <w:keepNext w:val="0"/>
        <w:numPr>
          <w:ilvl w:val="0"/>
          <w:numId w:val="0"/>
        </w:numPr>
        <w:ind w:left="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C0852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C0852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 настоящего Соглашения</w:t>
      </w:r>
      <w:r w:rsidRPr="00C27E8B">
        <w:rPr>
          <w:rFonts w:ascii="Times New Roman" w:hAnsi="Times New Roman" w:cs="Times New Roman"/>
          <w:sz w:val="28"/>
          <w:szCs w:val="28"/>
        </w:rPr>
        <w:t xml:space="preserve">, предоставляются Поселением Району в форме межбюджетных трансфертов. 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522A42" w:rsidRPr="000A5305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B77D78">
        <w:rPr>
          <w:rFonts w:ascii="Times New Roman" w:hAnsi="Times New Roman" w:cs="Times New Roman"/>
          <w:sz w:val="28"/>
          <w:szCs w:val="28"/>
        </w:rPr>
        <w:t>Объем межбюджетных трансфертов предоставляемых на осуществление перед</w:t>
      </w:r>
      <w:r w:rsidR="00DA5E62">
        <w:rPr>
          <w:rFonts w:ascii="Times New Roman" w:hAnsi="Times New Roman" w:cs="Times New Roman"/>
          <w:sz w:val="28"/>
          <w:szCs w:val="28"/>
        </w:rPr>
        <w:t xml:space="preserve">аваемых полномочий району </w:t>
      </w:r>
      <w:r w:rsidR="008038D6">
        <w:rPr>
          <w:rFonts w:ascii="Times New Roman" w:hAnsi="Times New Roman" w:cs="Times New Roman"/>
          <w:sz w:val="28"/>
          <w:szCs w:val="28"/>
        </w:rPr>
        <w:t>в 2025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8038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  </w:t>
      </w:r>
      <w:r w:rsidR="008038D6">
        <w:rPr>
          <w:rFonts w:ascii="Times New Roman" w:hAnsi="Times New Roman" w:cs="Times New Roman"/>
          <w:sz w:val="28"/>
          <w:szCs w:val="28"/>
        </w:rPr>
        <w:t>2 164 000</w:t>
      </w:r>
      <w:r w:rsidR="008038D6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>два миллиона сто шестьдесят четыре тысяча)</w:t>
      </w:r>
      <w:r w:rsidR="008038D6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 рублей и на плановый период 202</w:t>
      </w:r>
      <w:r w:rsidR="008038D6">
        <w:rPr>
          <w:rFonts w:ascii="Times New Roman" w:hAnsi="Times New Roman" w:cs="Times New Roman"/>
          <w:sz w:val="28"/>
          <w:szCs w:val="28"/>
        </w:rPr>
        <w:t>6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 и 202</w:t>
      </w:r>
      <w:r w:rsidR="008038D6">
        <w:rPr>
          <w:rFonts w:ascii="Times New Roman" w:hAnsi="Times New Roman" w:cs="Times New Roman"/>
          <w:sz w:val="28"/>
          <w:szCs w:val="28"/>
        </w:rPr>
        <w:t>7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038D6">
        <w:rPr>
          <w:rFonts w:ascii="Times New Roman" w:hAnsi="Times New Roman" w:cs="Times New Roman"/>
          <w:sz w:val="28"/>
          <w:szCs w:val="28"/>
        </w:rPr>
        <w:t>2 208 000</w:t>
      </w:r>
      <w:r w:rsidR="008038D6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>два миллиона двести восемь тысяч)</w:t>
      </w:r>
      <w:r w:rsidR="008038D6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8038D6" w:rsidRPr="00655CD2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8038D6">
        <w:rPr>
          <w:rFonts w:ascii="Times New Roman" w:hAnsi="Times New Roman" w:cs="Times New Roman"/>
          <w:sz w:val="28"/>
          <w:szCs w:val="28"/>
        </w:rPr>
        <w:t>2 208 000</w:t>
      </w:r>
      <w:r w:rsidR="008038D6" w:rsidRPr="00B77D78">
        <w:rPr>
          <w:rFonts w:ascii="Times New Roman" w:hAnsi="Times New Roman" w:cs="Times New Roman"/>
          <w:sz w:val="28"/>
          <w:szCs w:val="28"/>
        </w:rPr>
        <w:t xml:space="preserve"> (</w:t>
      </w:r>
      <w:r w:rsidR="008038D6">
        <w:rPr>
          <w:rFonts w:ascii="Times New Roman" w:hAnsi="Times New Roman" w:cs="Times New Roman"/>
          <w:sz w:val="28"/>
          <w:szCs w:val="28"/>
        </w:rPr>
        <w:t xml:space="preserve">два миллиона двести восемь тысяч) </w:t>
      </w:r>
      <w:r w:rsidR="008038D6" w:rsidRPr="00655CD2">
        <w:rPr>
          <w:rFonts w:ascii="Times New Roman" w:hAnsi="Times New Roman" w:cs="Times New Roman"/>
          <w:sz w:val="28"/>
          <w:szCs w:val="28"/>
        </w:rPr>
        <w:t>рублей</w:t>
      </w:r>
      <w:r w:rsidR="004B6469" w:rsidRPr="00655CD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13556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Pr="00B77D78">
        <w:rPr>
          <w:rFonts w:ascii="Times New Roman" w:hAnsi="Times New Roman" w:cs="Times New Roman"/>
          <w:sz w:val="28"/>
          <w:szCs w:val="28"/>
        </w:rPr>
        <w:t>№ 1 к Соглашению.</w:t>
      </w:r>
      <w:r w:rsidRPr="000A5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7597" w:rsidRDefault="00E67597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27E8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C27E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C27E8B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  <w:r w:rsidRPr="00C27E8B">
        <w:rPr>
          <w:rStyle w:val="a4"/>
          <w:rFonts w:ascii="Times New Roman" w:hAnsi="Times New Roman"/>
          <w:sz w:val="28"/>
          <w:szCs w:val="28"/>
        </w:rPr>
        <w:t>5. Финансовые санкции за неисполнение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5.1. Поселение осуществляет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 полномочий является основанием для одностороннего расторжения данного Соглашения.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5.3. Район несет ответственность за осуществление переданных  полномочий в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B77D78" w:rsidRPr="00994CBE" w:rsidRDefault="00522A42" w:rsidP="00994CBE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17172A" w:rsidRPr="0017172A" w:rsidRDefault="0017172A" w:rsidP="0017172A">
      <w:pPr>
        <w:spacing w:line="259" w:lineRule="auto"/>
        <w:ind w:left="1" w:hanging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Срок действия Соглашения</w:t>
      </w:r>
    </w:p>
    <w:p w:rsidR="0017172A" w:rsidRPr="0017172A" w:rsidRDefault="0017172A" w:rsidP="0017172A">
      <w:pPr>
        <w:spacing w:line="259" w:lineRule="auto"/>
        <w:ind w:left="1" w:hanging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72A" w:rsidRPr="0017172A" w:rsidRDefault="0017172A" w:rsidP="0017172A">
      <w:pPr>
        <w:pStyle w:val="21"/>
        <w:spacing w:after="0" w:line="240" w:lineRule="auto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Согла</w:t>
      </w:r>
      <w:r w:rsidR="00DA5E62">
        <w:rPr>
          <w:rFonts w:ascii="Times New Roman" w:hAnsi="Times New Roman" w:cs="Times New Roman"/>
          <w:color w:val="000000" w:themeColor="text1"/>
          <w:sz w:val="28"/>
          <w:szCs w:val="28"/>
        </w:rPr>
        <w:t>шение действует с 01 января 2025</w:t>
      </w:r>
      <w:r w:rsidR="0099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31 декабря 2026</w:t>
      </w: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7172A" w:rsidRPr="0017172A" w:rsidRDefault="0017172A" w:rsidP="0017172A">
      <w:pPr>
        <w:spacing w:line="259" w:lineRule="auto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17172A" w:rsidRPr="0017172A" w:rsidRDefault="0017172A" w:rsidP="0017172A">
      <w:pPr>
        <w:spacing w:line="259" w:lineRule="auto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17172A" w:rsidRPr="0017172A" w:rsidRDefault="0017172A" w:rsidP="0017172A">
      <w:pPr>
        <w:spacing w:line="259" w:lineRule="auto"/>
        <w:ind w:left="1" w:hanging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172A" w:rsidRPr="0017172A" w:rsidRDefault="0017172A" w:rsidP="0017172A">
      <w:pPr>
        <w:numPr>
          <w:ilvl w:val="0"/>
          <w:numId w:val="3"/>
        </w:numPr>
        <w:spacing w:line="259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Досрочное расторжение Соглашения</w:t>
      </w:r>
    </w:p>
    <w:p w:rsidR="0017172A" w:rsidRPr="0017172A" w:rsidRDefault="0017172A" w:rsidP="0017172A">
      <w:pPr>
        <w:spacing w:line="259" w:lineRule="auto"/>
        <w:ind w:left="1" w:hanging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172A" w:rsidRPr="0017172A" w:rsidRDefault="0017172A" w:rsidP="0017172A">
      <w:pPr>
        <w:spacing w:line="259" w:lineRule="auto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может быть расторгнуто досрочно в случаях: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7.2. В одностороннем порядке настоящее Соглашения расторгается в случае: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- в судебном порядке на основании решения суда.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7172A" w:rsidRPr="0017172A" w:rsidRDefault="0017172A" w:rsidP="00682D87">
      <w:pPr>
        <w:pStyle w:val="2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17172A">
        <w:rPr>
          <w:rFonts w:ascii="Times New Roman" w:hAnsi="Times New Roman" w:cs="Times New Roman"/>
          <w:i w:val="0"/>
          <w:color w:val="000000" w:themeColor="text1"/>
        </w:rPr>
        <w:t>8. Ответственность Сторон</w:t>
      </w:r>
    </w:p>
    <w:p w:rsidR="0017172A" w:rsidRPr="0017172A" w:rsidRDefault="0017172A" w:rsidP="0017172A">
      <w:pPr>
        <w:ind w:left="0" w:hanging="2"/>
        <w:rPr>
          <w:rFonts w:ascii="Times New Roman" w:hAnsi="Times New Roman" w:cs="Times New Roman"/>
          <w:color w:val="000000" w:themeColor="text1"/>
        </w:rPr>
      </w:pPr>
    </w:p>
    <w:p w:rsidR="0017172A" w:rsidRDefault="0017172A" w:rsidP="00994CBE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994CBE" w:rsidRPr="00994CBE" w:rsidRDefault="00994CBE" w:rsidP="00994CBE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72A" w:rsidRPr="0017172A" w:rsidRDefault="0017172A" w:rsidP="0017172A">
      <w:pPr>
        <w:numPr>
          <w:ilvl w:val="0"/>
          <w:numId w:val="4"/>
        </w:numPr>
        <w:spacing w:line="24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 Соглашения</w:t>
      </w:r>
    </w:p>
    <w:p w:rsidR="0017172A" w:rsidRPr="0017172A" w:rsidRDefault="0017172A" w:rsidP="0017172A">
      <w:pPr>
        <w:ind w:left="1" w:hanging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Внесение изменений и дополнений в настоящее соглашение осуществляется путем заключения Сторонами в установленном порядке </w:t>
      </w: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7172A" w:rsidRPr="0017172A" w:rsidRDefault="0017172A" w:rsidP="0017172A">
      <w:pPr>
        <w:autoSpaceDE w:val="0"/>
        <w:autoSpaceDN w:val="0"/>
        <w:adjustRightInd w:val="0"/>
        <w:ind w:left="1" w:hanging="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2A">
        <w:rPr>
          <w:rFonts w:ascii="Times New Roman" w:hAnsi="Times New Roman" w:cs="Times New Roman"/>
          <w:color w:val="000000" w:themeColor="text1"/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52013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72A">
        <w:rPr>
          <w:rFonts w:ascii="Times New Roman" w:hAnsi="Times New Roman" w:cs="Times New Roman"/>
          <w:b/>
          <w:bCs/>
          <w:sz w:val="28"/>
          <w:szCs w:val="28"/>
        </w:rPr>
        <w:t>10. Реквизиты и подписи Сторон</w:t>
      </w:r>
    </w:p>
    <w:p w:rsidR="00052013" w:rsidRDefault="00052013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44" w:type="dxa"/>
        <w:tblLook w:val="04A0"/>
      </w:tblPr>
      <w:tblGrid>
        <w:gridCol w:w="5353"/>
        <w:gridCol w:w="4491"/>
      </w:tblGrid>
      <w:tr w:rsidR="00052013" w:rsidRPr="00052013" w:rsidTr="00DF28FA">
        <w:tc>
          <w:tcPr>
            <w:tcW w:w="5353" w:type="dxa"/>
          </w:tcPr>
          <w:p w:rsidR="00052013" w:rsidRPr="00052013" w:rsidRDefault="00052013" w:rsidP="00052013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052013" w:rsidRPr="00052013" w:rsidRDefault="00052013" w:rsidP="00052013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1" w:type="dxa"/>
          </w:tcPr>
          <w:p w:rsidR="00052013" w:rsidRPr="00052013" w:rsidRDefault="00052013" w:rsidP="00052013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</w:t>
            </w:r>
          </w:p>
        </w:tc>
      </w:tr>
      <w:tr w:rsidR="00052013" w:rsidRPr="00052013" w:rsidTr="00DF28FA">
        <w:tc>
          <w:tcPr>
            <w:tcW w:w="5353" w:type="dxa"/>
          </w:tcPr>
          <w:p w:rsidR="00052013" w:rsidRPr="00052013" w:rsidRDefault="00052013" w:rsidP="00052013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4491" w:type="dxa"/>
          </w:tcPr>
          <w:p w:rsidR="00052013" w:rsidRPr="00052013" w:rsidRDefault="00DF28FA" w:rsidP="00052013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="00052013"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="00052013"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="00052013"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</w:tc>
      </w:tr>
      <w:tr w:rsidR="00052013" w:rsidRPr="00052013" w:rsidTr="00DF28FA">
        <w:tc>
          <w:tcPr>
            <w:tcW w:w="5353" w:type="dxa"/>
          </w:tcPr>
          <w:p w:rsid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г. Короча.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пл. Васильева, 28 УФК по Белгородской области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ИНН 3110002415, КПП 311001001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КФБП </w:t>
            </w:r>
            <w:proofErr w:type="spell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Корочанского</w:t>
            </w:r>
            <w:proofErr w:type="spell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/с 03231643146400002600 в отделении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. Белгород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БИК 011403102  л/с 02263006040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ОГРН1023101336422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тел.(8 47 231)55292</w:t>
            </w:r>
          </w:p>
          <w:p w:rsidR="00052013" w:rsidRPr="00052013" w:rsidRDefault="00052013" w:rsidP="00052013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491" w:type="dxa"/>
          </w:tcPr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309210, Белгородская область,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г. Короча, пл. Васильева, 28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Белгородской области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3110002415, КПП 311001001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ЕКС 40102810745370000018</w:t>
            </w:r>
          </w:p>
          <w:p w:rsidR="00052013" w:rsidRDefault="00052013" w:rsidP="00DF28FA">
            <w:pPr>
              <w:pStyle w:val="a8"/>
              <w:ind w:leftChars="0" w:left="165" w:hangingChars="61" w:hanging="16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Счет 03231643146400002600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отделении Белгород банка России//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УФК по Белгородской 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БИК 011403102 л/с 02263006040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ОГРН 1023101336422</w:t>
            </w:r>
          </w:p>
          <w:p w:rsidR="00052013" w:rsidRDefault="00052013" w:rsidP="00052013">
            <w:pPr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тел. 8(47231)55292</w:t>
            </w:r>
          </w:p>
          <w:p w:rsidR="00052013" w:rsidRDefault="00052013" w:rsidP="00052013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ОКПО 04023067</w:t>
            </w:r>
          </w:p>
          <w:p w:rsidR="00052013" w:rsidRPr="00052013" w:rsidRDefault="00052013" w:rsidP="00052013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7"/>
                <w:szCs w:val="27"/>
              </w:rPr>
              <w:t>ОКТМО 14640101</w:t>
            </w:r>
          </w:p>
        </w:tc>
      </w:tr>
    </w:tbl>
    <w:p w:rsidR="00052013" w:rsidRPr="00052013" w:rsidRDefault="00052013" w:rsidP="00052013">
      <w:pPr>
        <w:spacing w:line="259" w:lineRule="auto"/>
        <w:rPr>
          <w:rFonts w:ascii="Times New Roman" w:hAnsi="Times New Roman" w:cs="Times New Roman"/>
          <w:b/>
          <w:bCs/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052013" w:rsidRPr="00052013" w:rsidTr="00952116">
        <w:tc>
          <w:tcPr>
            <w:tcW w:w="5070" w:type="dxa"/>
          </w:tcPr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главы</w:t>
            </w: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– председатель комитета финансов и бюджетной политики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___________/Л.С. 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00" w:type="dxa"/>
          </w:tcPr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Глава </w:t>
            </w:r>
            <w:proofErr w:type="spellStart"/>
            <w:r w:rsidR="00DF2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сельского поселения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муниципального района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«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052013" w:rsidRPr="00052013" w:rsidRDefault="00052013" w:rsidP="00052013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013" w:rsidRPr="00052013" w:rsidRDefault="00052013" w:rsidP="00DF28FA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__________/</w:t>
            </w:r>
            <w:r w:rsidR="00DF2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Н.Ю.Виноходова</w:t>
            </w: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</w:tbl>
    <w:p w:rsidR="00052013" w:rsidRDefault="00052013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13" w:rsidRDefault="00052013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>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522A42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на 202</w:t>
      </w:r>
      <w:r w:rsidR="001C2816">
        <w:rPr>
          <w:rFonts w:ascii="Times New Roman" w:hAnsi="Times New Roman" w:cs="Times New Roman"/>
          <w:b/>
          <w:sz w:val="28"/>
          <w:szCs w:val="28"/>
        </w:rPr>
        <w:t>5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C2816">
        <w:rPr>
          <w:rFonts w:ascii="Times New Roman" w:hAnsi="Times New Roman" w:cs="Times New Roman"/>
          <w:b/>
          <w:sz w:val="28"/>
          <w:szCs w:val="28"/>
        </w:rPr>
        <w:t>6 и 2027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038D6" w:rsidRDefault="008038D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3544"/>
        <w:gridCol w:w="1219"/>
        <w:gridCol w:w="1080"/>
        <w:gridCol w:w="1080"/>
      </w:tblGrid>
      <w:tr w:rsidR="008038D6" w:rsidRPr="007C0C96" w:rsidTr="0037399E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Сумма,</w:t>
            </w:r>
          </w:p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8038D6" w:rsidRPr="007C0C96" w:rsidTr="0037399E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8038D6" w:rsidRPr="007C0C96" w:rsidTr="003739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D6" w:rsidRPr="008038D6" w:rsidRDefault="008038D6" w:rsidP="008038D6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4"/>
                <w:szCs w:val="24"/>
              </w:rPr>
              <w:t>0503 01 3 8134 540 251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</w:tr>
      <w:tr w:rsidR="008038D6" w:rsidRPr="007C0C96" w:rsidTr="003739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8038D6" w:rsidRPr="007C0C96" w:rsidTr="0037399E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D6" w:rsidRPr="008038D6" w:rsidRDefault="008038D6" w:rsidP="008038D6">
            <w:pPr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D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D6" w:rsidRPr="008038D6" w:rsidRDefault="008038D6" w:rsidP="008038D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2208</w:t>
            </w:r>
          </w:p>
        </w:tc>
      </w:tr>
    </w:tbl>
    <w:p w:rsidR="008038D6" w:rsidRDefault="008038D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8D6" w:rsidRPr="00C27E8B" w:rsidRDefault="008038D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014DE6" w:rsidRDefault="00014DE6" w:rsidP="00522A42">
      <w:pPr>
        <w:ind w:left="0" w:right="-284" w:hanging="2"/>
      </w:pPr>
    </w:p>
    <w:sectPr w:rsidR="00014DE6" w:rsidSect="0035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multilevel"/>
    <w:tmpl w:val="16416C38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multilevel"/>
    <w:tmpl w:val="3E0F764E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multilevel"/>
    <w:tmpl w:val="3FC82D45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A42"/>
    <w:rsid w:val="00014DE6"/>
    <w:rsid w:val="00052013"/>
    <w:rsid w:val="000966E2"/>
    <w:rsid w:val="000A4F07"/>
    <w:rsid w:val="000F3094"/>
    <w:rsid w:val="0012540C"/>
    <w:rsid w:val="0017172A"/>
    <w:rsid w:val="0019412F"/>
    <w:rsid w:val="001C2816"/>
    <w:rsid w:val="002354BE"/>
    <w:rsid w:val="002358DA"/>
    <w:rsid w:val="00266C1D"/>
    <w:rsid w:val="002B55C1"/>
    <w:rsid w:val="002B7791"/>
    <w:rsid w:val="002D4B40"/>
    <w:rsid w:val="00320C78"/>
    <w:rsid w:val="00354DCE"/>
    <w:rsid w:val="00436D6E"/>
    <w:rsid w:val="004542C6"/>
    <w:rsid w:val="00475E56"/>
    <w:rsid w:val="00486B09"/>
    <w:rsid w:val="004B6469"/>
    <w:rsid w:val="004B70A5"/>
    <w:rsid w:val="004F6160"/>
    <w:rsid w:val="0050429C"/>
    <w:rsid w:val="00522A42"/>
    <w:rsid w:val="00555D70"/>
    <w:rsid w:val="00563C6B"/>
    <w:rsid w:val="00593366"/>
    <w:rsid w:val="005B649B"/>
    <w:rsid w:val="005D6D99"/>
    <w:rsid w:val="00655CD2"/>
    <w:rsid w:val="00682D87"/>
    <w:rsid w:val="006D30C7"/>
    <w:rsid w:val="006F3C1F"/>
    <w:rsid w:val="00714BF3"/>
    <w:rsid w:val="00744BAB"/>
    <w:rsid w:val="00800F77"/>
    <w:rsid w:val="008038D6"/>
    <w:rsid w:val="008C4BDF"/>
    <w:rsid w:val="00934D2F"/>
    <w:rsid w:val="009747B6"/>
    <w:rsid w:val="00994CBE"/>
    <w:rsid w:val="009C5636"/>
    <w:rsid w:val="00A37F26"/>
    <w:rsid w:val="00A60478"/>
    <w:rsid w:val="00A85A0B"/>
    <w:rsid w:val="00AA4F65"/>
    <w:rsid w:val="00B30A91"/>
    <w:rsid w:val="00B419FF"/>
    <w:rsid w:val="00B77D78"/>
    <w:rsid w:val="00B87ED4"/>
    <w:rsid w:val="00BB0F44"/>
    <w:rsid w:val="00C10CB0"/>
    <w:rsid w:val="00C717DB"/>
    <w:rsid w:val="00CF3582"/>
    <w:rsid w:val="00D13556"/>
    <w:rsid w:val="00D44407"/>
    <w:rsid w:val="00DA5E62"/>
    <w:rsid w:val="00DB5997"/>
    <w:rsid w:val="00DF0914"/>
    <w:rsid w:val="00DF28FA"/>
    <w:rsid w:val="00E67597"/>
    <w:rsid w:val="00EF379A"/>
    <w:rsid w:val="00F1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A42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522A42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522A42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522A42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22A42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522A4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522A42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522A42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Arial" w:hAnsi="Courier New" w:cs="Courier New"/>
      <w:sz w:val="20"/>
      <w:szCs w:val="24"/>
      <w:lang w:eastAsia="ru-RU"/>
    </w:rPr>
  </w:style>
  <w:style w:type="paragraph" w:styleId="21">
    <w:name w:val="Body Text Indent 2"/>
    <w:basedOn w:val="a"/>
    <w:link w:val="22"/>
    <w:unhideWhenUsed/>
    <w:rsid w:val="00522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22A42"/>
    <w:rPr>
      <w:rFonts w:ascii="Calibri" w:eastAsia="Times New Roman" w:hAnsi="Calibri" w:cs="Calibri"/>
      <w:lang w:eastAsia="ru-RU"/>
    </w:rPr>
  </w:style>
  <w:style w:type="character" w:styleId="a4">
    <w:name w:val="Strong"/>
    <w:basedOn w:val="a1"/>
    <w:uiPriority w:val="22"/>
    <w:qFormat/>
    <w:rsid w:val="00522A42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22A42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22A42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522A4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22A4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2A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419FF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4F6160"/>
    <w:pPr>
      <w:ind w:left="720"/>
      <w:contextualSpacing/>
    </w:pPr>
  </w:style>
  <w:style w:type="table" w:styleId="aa">
    <w:name w:val="Table Grid"/>
    <w:basedOn w:val="a2"/>
    <w:uiPriority w:val="59"/>
    <w:rsid w:val="0005201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1"/>
    <w:qFormat/>
    <w:rsid w:val="00803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13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2024-11-28T10:16:00Z</cp:lastPrinted>
  <dcterms:created xsi:type="dcterms:W3CDTF">2021-12-06T14:28:00Z</dcterms:created>
  <dcterms:modified xsi:type="dcterms:W3CDTF">2024-11-29T05:09:00Z</dcterms:modified>
</cp:coreProperties>
</file>